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8B" w:rsidRDefault="00B5618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მსურს გამოვეხმაურო თქვენ მიერ მოწოდებულ ღია წერილს და მასში აღნიშნულ საკითხებთან დაკავშირებით გაგაცნოთ </w:t>
      </w:r>
      <w:r w:rsidR="001B5941">
        <w:rPr>
          <w:rFonts w:ascii="Sylfaen" w:hAnsi="Sylfaen"/>
          <w:lang w:val="ka-GE"/>
        </w:rPr>
        <w:t>სახელმწიფოს</w:t>
      </w:r>
      <w:r>
        <w:rPr>
          <w:rFonts w:ascii="Sylfaen" w:hAnsi="Sylfaen"/>
          <w:lang w:val="ka-GE"/>
        </w:rPr>
        <w:t xml:space="preserve"> კონკრეტული პოზიცია.</w:t>
      </w:r>
    </w:p>
    <w:p w:rsidR="00FD53BE" w:rsidRDefault="00B5618B" w:rsidP="00D61CC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უპირველეს ყოვლისა, შევეხები წერილის დასაწყისში თქვენ მიერ გამოთქმულ წუხილს </w:t>
      </w:r>
      <w:r w:rsidR="001B5941">
        <w:rPr>
          <w:rFonts w:ascii="Sylfaen" w:hAnsi="Sylfaen"/>
          <w:lang w:val="ka-GE"/>
        </w:rPr>
        <w:t xml:space="preserve">ჯანდაცვის </w:t>
      </w:r>
      <w:r>
        <w:rPr>
          <w:rFonts w:ascii="Sylfaen" w:hAnsi="Sylfaen"/>
          <w:lang w:val="ka-GE"/>
        </w:rPr>
        <w:t>სამინისტროსთან კომუნიკაციის შესახებ</w:t>
      </w:r>
      <w:r w:rsidR="00FD53BE">
        <w:rPr>
          <w:rFonts w:ascii="Sylfaen" w:hAnsi="Sylfaen"/>
          <w:lang w:val="ka-GE"/>
        </w:rPr>
        <w:t xml:space="preserve">. </w:t>
      </w:r>
      <w:r w:rsidR="001B5941">
        <w:rPr>
          <w:rFonts w:ascii="Sylfaen" w:hAnsi="Sylfaen"/>
          <w:lang w:val="ka-GE"/>
        </w:rPr>
        <w:t xml:space="preserve">უწყებაში </w:t>
      </w:r>
      <w:r w:rsidR="00FD53BE">
        <w:rPr>
          <w:rFonts w:ascii="Sylfaen" w:hAnsi="Sylfaen"/>
          <w:lang w:val="ka-GE"/>
        </w:rPr>
        <w:t xml:space="preserve">უკვე რამდენიმე თვეა მინისტრის ინიციატივით შექმნილია საკომუნიკაციო პლატფორმა, რომლის ფარგლებში სამინისტროს მაღალი თანამდებობების პირები  ღია ფორმატში აწარმოებენ შეხვედრებს ყველა დაინტერესებულ პირთან. აღნიშნული პლატფორმის ფარგლებში </w:t>
      </w:r>
      <w:r w:rsidR="000C5EBF">
        <w:rPr>
          <w:rFonts w:ascii="Sylfaen" w:hAnsi="Sylfaen"/>
          <w:lang w:val="ka-GE"/>
        </w:rPr>
        <w:t xml:space="preserve">4 თვის მანძილზე  </w:t>
      </w:r>
      <w:r w:rsidR="000C5EBF">
        <w:rPr>
          <w:rFonts w:ascii="Sylfaen" w:hAnsi="Sylfaen"/>
        </w:rPr>
        <w:t xml:space="preserve">2019 </w:t>
      </w:r>
      <w:r w:rsidR="000C5EBF">
        <w:rPr>
          <w:rFonts w:ascii="Sylfaen" w:hAnsi="Sylfaen"/>
          <w:lang w:val="ka-GE"/>
        </w:rPr>
        <w:t>წლის</w:t>
      </w:r>
      <w:r w:rsidR="000C5EBF">
        <w:rPr>
          <w:rFonts w:ascii="Sylfaen" w:hAnsi="Sylfaen"/>
        </w:rPr>
        <w:t xml:space="preserve"> </w:t>
      </w:r>
      <w:r w:rsidR="000C5EBF">
        <w:rPr>
          <w:rFonts w:ascii="Sylfaen" w:hAnsi="Sylfaen"/>
          <w:lang w:val="ka-GE"/>
        </w:rPr>
        <w:t xml:space="preserve">ივლისიდან ნოემბრამდე  </w:t>
      </w:r>
      <w:r w:rsidR="000C5EBF">
        <w:rPr>
          <w:rFonts w:ascii="Sylfaen" w:hAnsi="Sylfaen"/>
        </w:rPr>
        <w:t>32</w:t>
      </w:r>
      <w:r w:rsidR="000C5EBF">
        <w:rPr>
          <w:rFonts w:ascii="Sylfaen" w:hAnsi="Sylfaen"/>
          <w:lang w:val="ka-GE"/>
        </w:rPr>
        <w:t xml:space="preserve"> შეხვედრა ჩატარდა  საზოგადოების სხვადასხვა ჯგუფთან, მათ შორის 6 შეხვედრა გაიმართა უშუალოდ</w:t>
      </w:r>
      <w:r w:rsidR="00FD53BE">
        <w:rPr>
          <w:rFonts w:ascii="Sylfaen" w:hAnsi="Sylfaen"/>
          <w:lang w:val="ka-GE"/>
        </w:rPr>
        <w:t xml:space="preserve"> </w:t>
      </w:r>
      <w:r w:rsidR="000C5EBF">
        <w:rPr>
          <w:rFonts w:ascii="Sylfaen" w:hAnsi="Sylfaen"/>
          <w:lang w:val="ka-GE"/>
        </w:rPr>
        <w:t>ჰოსპიტალურ და</w:t>
      </w:r>
      <w:r w:rsidR="00FD53BE">
        <w:rPr>
          <w:rFonts w:ascii="Sylfaen" w:hAnsi="Sylfaen"/>
          <w:lang w:val="ka-GE"/>
        </w:rPr>
        <w:t xml:space="preserve"> პირველადი ჯანდაცვის სექტორის წარმომადგენლებთან, რომლებსაც მიეცათ შესაძლებლობა ღიად ესაუბრათ მათთვის მნიშვნელოვან საკითხებზე. </w:t>
      </w:r>
      <w:r w:rsidR="001B5941">
        <w:rPr>
          <w:rFonts w:ascii="Sylfaen" w:hAnsi="Sylfaen"/>
          <w:lang w:val="ka-GE"/>
        </w:rPr>
        <w:t>საკომუნიკაციო პლატფორმას</w:t>
      </w:r>
      <w:r w:rsidR="00FD53BE">
        <w:rPr>
          <w:rFonts w:ascii="Sylfaen" w:hAnsi="Sylfaen"/>
          <w:lang w:val="ka-GE"/>
        </w:rPr>
        <w:t xml:space="preserve"> ხელმძღვანელობს პირადად ჯანდაცვის მინისტრი და მისი მოადგილეები. ჯანდაცვის </w:t>
      </w:r>
      <w:r w:rsidR="000C5EBF">
        <w:rPr>
          <w:rFonts w:ascii="Sylfaen" w:hAnsi="Sylfaen"/>
          <w:lang w:val="ka-GE"/>
        </w:rPr>
        <w:t xml:space="preserve">უნდა აღინიშნოს, რომ არაერთხელ გამოითქვა მინისტრთან და მოადგილეებთან, კონკრეტული პირების მიერ ინდივიდუალური </w:t>
      </w:r>
      <w:r w:rsidR="000C430B">
        <w:rPr>
          <w:rFonts w:ascii="Sylfaen" w:hAnsi="Sylfaen"/>
          <w:lang w:val="ka-GE"/>
        </w:rPr>
        <w:t>შეხვედრების გამართვის სურვილი, რაზეც მათ უარი ეთქვათ, რამდენადაც აღნიშნული ფორმატი კატეგორიულად ეწინააღმდეგება სამინისტროში დადგენილ კომუნიკაციის პრინციპს. მსგავსი პერსონალური შეხვედრები გათვლილია პირად ინტერესებზე და არა სამედიცინო სექტორის საერთო საჭიროებებზე.</w:t>
      </w:r>
      <w:r w:rsidR="00D61CC2">
        <w:rPr>
          <w:rFonts w:ascii="Sylfaen" w:hAnsi="Sylfaen"/>
          <w:lang w:val="ka-GE"/>
        </w:rPr>
        <w:t xml:space="preserve"> სამინისტრო მუდმივად აცხადებს მზაობას ნებისმიერი ფორმატით აწარმოოს კომუნიკაცია ყველა დაინტერესბულ  ჯგუფთან.</w:t>
      </w:r>
    </w:p>
    <w:p w:rsidR="004473BE" w:rsidRDefault="00FD53B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რაც </w:t>
      </w:r>
      <w:r w:rsidR="00347B26">
        <w:rPr>
          <w:rFonts w:ascii="Sylfaen" w:hAnsi="Sylfaen"/>
          <w:lang w:val="ka-GE"/>
        </w:rPr>
        <w:t xml:space="preserve"> შეეხება უშუალოდ დაწესებულებები</w:t>
      </w:r>
      <w:r w:rsidR="001B5941">
        <w:rPr>
          <w:rFonts w:ascii="Sylfaen" w:hAnsi="Sylfaen"/>
          <w:lang w:val="ka-GE"/>
        </w:rPr>
        <w:t>ს</w:t>
      </w:r>
      <w:r w:rsidR="00347B26">
        <w:rPr>
          <w:rFonts w:ascii="Sylfaen" w:hAnsi="Sylfaen"/>
          <w:lang w:val="ka-GE"/>
        </w:rPr>
        <w:t xml:space="preserve"> დაფინანსების საკითხს. ჯანდაცვის სამინისტროს მიერ დაგეგმილი </w:t>
      </w:r>
      <w:r w:rsidR="001B5941">
        <w:rPr>
          <w:rFonts w:ascii="Sylfaen" w:hAnsi="Sylfaen"/>
          <w:lang w:val="ka-GE"/>
        </w:rPr>
        <w:t>ყოველი რეფორმა</w:t>
      </w:r>
      <w:r w:rsidR="00347B26">
        <w:rPr>
          <w:rFonts w:ascii="Sylfaen" w:hAnsi="Sylfaen"/>
          <w:lang w:val="ka-GE"/>
        </w:rPr>
        <w:t xml:space="preserve"> ეყრდნობა სიტუაციურ ანალიზს. ახალი განფასების შექმნის პროცესში, სამინისტრომ აწარმოა აქტიური კომუნიკაცია</w:t>
      </w:r>
      <w:r w:rsidR="004473BE">
        <w:rPr>
          <w:rFonts w:ascii="Sylfaen" w:hAnsi="Sylfaen"/>
        </w:rPr>
        <w:t xml:space="preserve"> </w:t>
      </w:r>
      <w:r w:rsidR="004473BE">
        <w:rPr>
          <w:rFonts w:ascii="Sylfaen" w:hAnsi="Sylfaen"/>
          <w:lang w:val="ka-GE"/>
        </w:rPr>
        <w:t>უშუალოდ</w:t>
      </w:r>
      <w:r w:rsidR="00347B26">
        <w:rPr>
          <w:rFonts w:ascii="Sylfaen" w:hAnsi="Sylfaen"/>
          <w:lang w:val="ka-GE"/>
        </w:rPr>
        <w:t xml:space="preserve"> დაწესებულებების ფინანსურ დირექტორებთან</w:t>
      </w:r>
      <w:r w:rsidR="000C430B">
        <w:rPr>
          <w:rFonts w:ascii="Sylfaen" w:hAnsi="Sylfaen"/>
          <w:lang w:val="ka-GE"/>
        </w:rPr>
        <w:t xml:space="preserve">, </w:t>
      </w:r>
      <w:r w:rsidR="00347B26">
        <w:rPr>
          <w:rFonts w:ascii="Sylfaen" w:hAnsi="Sylfaen"/>
          <w:lang w:val="ka-GE"/>
        </w:rPr>
        <w:t xml:space="preserve">გამოითხოვა მათგან სრული მონაცემები ყველა სახის ხარჯის შესახებ, რათა სწორედ მათი ანალიზის საფუძველზე შედგენილიყო ახალი განფასებით გათვალისწინებული საშუალო </w:t>
      </w:r>
      <w:r w:rsidR="001B5941">
        <w:rPr>
          <w:rFonts w:ascii="Sylfaen" w:hAnsi="Sylfaen"/>
          <w:lang w:val="ka-GE"/>
        </w:rPr>
        <w:t>ტარიფები</w:t>
      </w:r>
      <w:r w:rsidR="000C430B">
        <w:rPr>
          <w:rFonts w:ascii="Sylfaen" w:hAnsi="Sylfaen"/>
          <w:lang w:val="ka-GE"/>
        </w:rPr>
        <w:t>. აღნიშნულ პროცესში ჩაერთო</w:t>
      </w:r>
      <w:r w:rsidR="00771E8A">
        <w:rPr>
          <w:rFonts w:ascii="Sylfaen" w:hAnsi="Sylfaen"/>
          <w:lang w:val="ka-GE"/>
        </w:rPr>
        <w:t xml:space="preserve"> 150-ზე მეტი სტაციონარული</w:t>
      </w:r>
      <w:r w:rsidR="000C430B">
        <w:rPr>
          <w:rFonts w:ascii="Sylfaen" w:hAnsi="Sylfaen"/>
          <w:lang w:val="ka-GE"/>
        </w:rPr>
        <w:t xml:space="preserve"> დაწესებულების ფინანსური დირექტორი, რომლებმაც  </w:t>
      </w:r>
      <w:r w:rsidR="00771E8A" w:rsidRPr="00771E8A">
        <w:rPr>
          <w:rFonts w:ascii="Sylfaen" w:hAnsi="Sylfaen"/>
          <w:color w:val="000000" w:themeColor="text1"/>
          <w:lang w:val="ka-GE"/>
        </w:rPr>
        <w:t>ივლისი-აგვისტოს პერიოდში პორტალზე ჩვენ მიერ მითითებული განკარგულების შესაბამისად წარმოადგენს ხარჯების</w:t>
      </w:r>
      <w:r w:rsidR="00771E8A">
        <w:rPr>
          <w:rFonts w:ascii="Sylfaen" w:hAnsi="Sylfaen"/>
          <w:color w:val="000000" w:themeColor="text1"/>
          <w:lang w:val="ka-GE"/>
        </w:rPr>
        <w:t xml:space="preserve"> დეტალური</w:t>
      </w:r>
      <w:r w:rsidR="00771E8A" w:rsidRPr="00771E8A">
        <w:rPr>
          <w:rFonts w:ascii="Sylfaen" w:hAnsi="Sylfaen"/>
          <w:color w:val="000000" w:themeColor="text1"/>
          <w:lang w:val="ka-GE"/>
        </w:rPr>
        <w:t xml:space="preserve"> აღწერილობა.</w:t>
      </w:r>
      <w:r w:rsidR="00771E8A">
        <w:rPr>
          <w:rFonts w:ascii="Sylfaen" w:hAnsi="Sylfaen"/>
          <w:b/>
          <w:color w:val="000000" w:themeColor="text1"/>
          <w:lang w:val="ka-GE"/>
        </w:rPr>
        <w:t xml:space="preserve"> </w:t>
      </w:r>
      <w:r w:rsidR="001B5941">
        <w:rPr>
          <w:rFonts w:ascii="Sylfaen" w:hAnsi="Sylfaen"/>
          <w:lang w:val="ka-GE"/>
        </w:rPr>
        <w:t>დარგობრივ</w:t>
      </w:r>
      <w:r w:rsidR="004473BE">
        <w:rPr>
          <w:rFonts w:ascii="Sylfaen" w:hAnsi="Sylfaen"/>
          <w:lang w:val="ka-GE"/>
        </w:rPr>
        <w:t xml:space="preserve"> ასოციაციებთან აღნიშნული საკითხების განხილვა არ განხორციელებულა, რამდენადაც </w:t>
      </w:r>
      <w:r w:rsidR="001B5941">
        <w:rPr>
          <w:rFonts w:ascii="Sylfaen" w:hAnsi="Sylfaen"/>
          <w:lang w:val="ka-GE"/>
        </w:rPr>
        <w:t xml:space="preserve">მათ </w:t>
      </w:r>
      <w:r w:rsidR="004473BE">
        <w:rPr>
          <w:rFonts w:ascii="Sylfaen" w:hAnsi="Sylfaen"/>
          <w:lang w:val="ka-GE"/>
        </w:rPr>
        <w:t xml:space="preserve">კომპტენციას წარმოადგენს უშუალოდ მკურნალობის პროცესთან </w:t>
      </w:r>
      <w:r w:rsidR="001B5941">
        <w:rPr>
          <w:rFonts w:ascii="Sylfaen" w:hAnsi="Sylfaen"/>
          <w:lang w:val="ka-GE"/>
        </w:rPr>
        <w:t>დაკავშირებულ</w:t>
      </w:r>
      <w:r w:rsidR="004473BE">
        <w:rPr>
          <w:rFonts w:ascii="Sylfaen" w:hAnsi="Sylfaen"/>
          <w:lang w:val="ka-GE"/>
        </w:rPr>
        <w:t xml:space="preserve"> სამედიცინო </w:t>
      </w:r>
      <w:r w:rsidR="001B5941">
        <w:rPr>
          <w:rFonts w:ascii="Sylfaen" w:hAnsi="Sylfaen"/>
          <w:lang w:val="ka-GE"/>
        </w:rPr>
        <w:t xml:space="preserve">საკითხებზე მუშაობა </w:t>
      </w:r>
      <w:r w:rsidR="004473BE">
        <w:rPr>
          <w:rFonts w:ascii="Sylfaen" w:hAnsi="Sylfaen"/>
          <w:lang w:val="ka-GE"/>
        </w:rPr>
        <w:t xml:space="preserve">და არა ფინანსური </w:t>
      </w:r>
      <w:r w:rsidR="001B5941">
        <w:rPr>
          <w:rFonts w:ascii="Sylfaen" w:hAnsi="Sylfaen"/>
          <w:lang w:val="ka-GE"/>
        </w:rPr>
        <w:t xml:space="preserve">გათვლების განხორციელება. </w:t>
      </w:r>
    </w:p>
    <w:p w:rsidR="002B54AB" w:rsidRDefault="004473B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347B26">
        <w:rPr>
          <w:rFonts w:ascii="Sylfaen" w:hAnsi="Sylfaen"/>
          <w:lang w:val="ka-GE"/>
        </w:rPr>
        <w:t xml:space="preserve">ტარიფების დადგენისას სამინისტრომ იხელმძღვანელა საერთაშორისოდ აღიარებული ფორმულით, რომელიც ითვალისწინებს როგორც პირდაპირ და არაპირდაპირ, ისე ცვლად და ფიქსირებულ ხარჯებს. ტარიფებში გათვალისწინებულია მოგების </w:t>
      </w:r>
      <w:r w:rsidR="001B5941">
        <w:rPr>
          <w:rFonts w:ascii="Sylfaen" w:hAnsi="Sylfaen"/>
          <w:lang w:val="ka-GE"/>
        </w:rPr>
        <w:t>თანხა</w:t>
      </w:r>
      <w:r w:rsidR="002B54AB">
        <w:rPr>
          <w:rFonts w:ascii="Sylfaen" w:hAnsi="Sylfaen"/>
          <w:lang w:val="ka-GE"/>
        </w:rPr>
        <w:t xml:space="preserve">, რეინვესტირების </w:t>
      </w:r>
      <w:r w:rsidR="001B5941">
        <w:rPr>
          <w:rFonts w:ascii="Sylfaen" w:hAnsi="Sylfaen"/>
          <w:lang w:val="ka-GE"/>
        </w:rPr>
        <w:t>ოდენობა</w:t>
      </w:r>
      <w:r w:rsidR="002B54AB">
        <w:rPr>
          <w:rFonts w:ascii="Sylfaen" w:hAnsi="Sylfaen"/>
          <w:lang w:val="ka-GE"/>
        </w:rPr>
        <w:t xml:space="preserve"> </w:t>
      </w:r>
      <w:r w:rsidR="00347B26">
        <w:rPr>
          <w:rFonts w:ascii="Sylfaen" w:hAnsi="Sylfaen"/>
          <w:lang w:val="ka-GE"/>
        </w:rPr>
        <w:t xml:space="preserve">და გაუთვალისწინებელი ხარჯებიც. </w:t>
      </w:r>
      <w:r>
        <w:rPr>
          <w:rFonts w:ascii="Sylfaen" w:hAnsi="Sylfaen"/>
          <w:lang w:val="ka-GE"/>
        </w:rPr>
        <w:t xml:space="preserve">ამრიგად, წარმოდგენილი </w:t>
      </w:r>
      <w:r w:rsidR="00347B26">
        <w:rPr>
          <w:rFonts w:ascii="Sylfaen" w:hAnsi="Sylfaen"/>
          <w:lang w:val="ka-GE"/>
        </w:rPr>
        <w:t>პრინციპი გახლავთ მნიშვნელოვანი ინსტრუმენტი, რომელიც</w:t>
      </w:r>
      <w:r w:rsidR="002B54AB">
        <w:rPr>
          <w:rFonts w:ascii="Sylfaen" w:hAnsi="Sylfaen"/>
          <w:lang w:val="ka-GE"/>
        </w:rPr>
        <w:t xml:space="preserve"> ორიენტირებულია პაციენტის  ინტერესზე და ამავდროულად დაწესებულებებს აძლევს განვითარების შესაძლებლობას. ეს პროცესი კლინიკებს</w:t>
      </w:r>
      <w:r w:rsidR="00347B26">
        <w:rPr>
          <w:rFonts w:ascii="Sylfaen" w:hAnsi="Sylfaen"/>
          <w:lang w:val="ka-GE"/>
        </w:rPr>
        <w:t xml:space="preserve"> ჩააყენებს თანაბარი, ჯანსაღი კონკურენციის პიროებებში და მინიმუმამდე დაიყვანს სწორედ იმ დისკრიმინაციულ ელემენტებს, </w:t>
      </w:r>
      <w:r w:rsidR="001B5941">
        <w:rPr>
          <w:rFonts w:ascii="Sylfaen" w:hAnsi="Sylfaen"/>
          <w:lang w:val="ka-GE"/>
        </w:rPr>
        <w:t>რომელზეც საუბარია</w:t>
      </w:r>
      <w:r w:rsidR="00347B26">
        <w:rPr>
          <w:rFonts w:ascii="Sylfaen" w:hAnsi="Sylfaen"/>
          <w:lang w:val="ka-GE"/>
        </w:rPr>
        <w:t xml:space="preserve"> წერილში</w:t>
      </w:r>
      <w:r w:rsidR="001B5941">
        <w:rPr>
          <w:rFonts w:ascii="Sylfaen" w:hAnsi="Sylfaen"/>
          <w:lang w:val="ka-GE"/>
        </w:rPr>
        <w:t>,</w:t>
      </w:r>
      <w:r w:rsidR="00347B26">
        <w:rPr>
          <w:rFonts w:ascii="Sylfaen" w:hAnsi="Sylfaen"/>
          <w:lang w:val="ka-GE"/>
        </w:rPr>
        <w:t xml:space="preserve"> 2013 </w:t>
      </w:r>
      <w:r w:rsidR="00347B26">
        <w:rPr>
          <w:rFonts w:ascii="Sylfaen" w:hAnsi="Sylfaen"/>
          <w:lang w:val="ka-GE"/>
        </w:rPr>
        <w:lastRenderedPageBreak/>
        <w:t>წლამდე</w:t>
      </w:r>
      <w:r w:rsidR="00FA5D84">
        <w:rPr>
          <w:rFonts w:ascii="Sylfaen" w:hAnsi="Sylfaen"/>
          <w:lang w:val="ka-GE"/>
        </w:rPr>
        <w:t xml:space="preserve"> ფასის</w:t>
      </w:r>
      <w:r w:rsidR="00347B26">
        <w:rPr>
          <w:rFonts w:ascii="Sylfaen" w:hAnsi="Sylfaen"/>
          <w:lang w:val="ka-GE"/>
        </w:rPr>
        <w:t xml:space="preserve"> </w:t>
      </w:r>
      <w:r w:rsidR="000C430B">
        <w:rPr>
          <w:rFonts w:ascii="Sylfaen" w:hAnsi="Sylfaen"/>
          <w:lang w:val="ka-GE"/>
        </w:rPr>
        <w:t xml:space="preserve">„ისტორიული </w:t>
      </w:r>
      <w:r w:rsidR="00FA5D84">
        <w:rPr>
          <w:rFonts w:ascii="Sylfaen" w:hAnsi="Sylfaen"/>
          <w:lang w:val="ka-GE"/>
        </w:rPr>
        <w:t xml:space="preserve">მინიმუმით“ მომუშავე და 2013 წლის შემდეგ გახსნილი  </w:t>
      </w:r>
      <w:r w:rsidR="00347B26">
        <w:rPr>
          <w:rFonts w:ascii="Sylfaen" w:hAnsi="Sylfaen"/>
          <w:lang w:val="ka-GE"/>
        </w:rPr>
        <w:t>დაწესებულებების კონტექსტში</w:t>
      </w:r>
      <w:r w:rsidR="00D20D3C">
        <w:rPr>
          <w:rFonts w:ascii="Sylfaen" w:hAnsi="Sylfaen"/>
          <w:lang w:val="ka-GE"/>
        </w:rPr>
        <w:t>.</w:t>
      </w:r>
    </w:p>
    <w:p w:rsidR="00D20D3C" w:rsidRPr="00D20D3C" w:rsidRDefault="00D20D3C" w:rsidP="00771E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hAnsi="Sylfaen"/>
          <w:lang w:val="ka-GE"/>
        </w:rPr>
        <w:t xml:space="preserve">მეტი კონკრეტიკისთვის, წარმოგიდგენთ </w:t>
      </w:r>
      <w:r w:rsidR="004473BE">
        <w:rPr>
          <w:rFonts w:ascii="Sylfaen" w:hAnsi="Sylfaen"/>
          <w:lang w:val="ka-GE"/>
        </w:rPr>
        <w:t>ტარიფის განსაზღვრის სქემას, რომელიც მოიცავს ყველა იმ კრიტერიუმს, რომელიც დაწესებულების დანახარჯებს  ასახავს.</w:t>
      </w:r>
      <w:r w:rsidR="000C3BC9">
        <w:rPr>
          <w:rFonts w:ascii="Sylfaen" w:hAnsi="Sylfaen"/>
          <w:lang w:val="ka-GE"/>
        </w:rPr>
        <w:t xml:space="preserve"> (მონაცემები მოწოდებულია დაწესებულებების ფინანსური სამსახურების მიერ).</w:t>
      </w:r>
      <w:r w:rsidR="004473BE">
        <w:rPr>
          <w:rFonts w:ascii="Sylfaen" w:hAnsi="Sylfaen"/>
          <w:lang w:val="ka-GE"/>
        </w:rPr>
        <w:t xml:space="preserve"> აღნიშნული პრინციპი ითვალისწინებს როგორც კლინიკის, ისე პაციენტის ინტერეს</w:t>
      </w:r>
      <w:r w:rsidR="000C3BC9">
        <w:rPr>
          <w:rFonts w:ascii="Sylfaen" w:hAnsi="Sylfaen"/>
          <w:lang w:val="ka-GE"/>
        </w:rPr>
        <w:t>ებ</w:t>
      </w:r>
      <w:r w:rsidR="004473BE">
        <w:rPr>
          <w:rFonts w:ascii="Sylfaen" w:hAnsi="Sylfaen"/>
          <w:lang w:val="ka-GE"/>
        </w:rPr>
        <w:t xml:space="preserve">ს, </w:t>
      </w:r>
      <w:r w:rsidR="000C3BC9">
        <w:rPr>
          <w:rFonts w:ascii="Sylfaen" w:hAnsi="Sylfaen"/>
          <w:lang w:val="ka-GE"/>
        </w:rPr>
        <w:t xml:space="preserve">რამდენადაც იქმნება </w:t>
      </w:r>
      <w:r w:rsidR="004473BE">
        <w:rPr>
          <w:rFonts w:ascii="Sylfaen" w:hAnsi="Sylfaen"/>
          <w:lang w:val="ka-GE"/>
        </w:rPr>
        <w:t xml:space="preserve"> შესაძლებლობა</w:t>
      </w:r>
      <w:r w:rsidR="000C3BC9">
        <w:rPr>
          <w:rFonts w:ascii="Sylfaen" w:hAnsi="Sylfaen"/>
          <w:lang w:val="ka-GE"/>
        </w:rPr>
        <w:t xml:space="preserve"> გაიცეს მომსახურება რეალურთან მაქსიმალურად დაახლოებული ფასით. </w:t>
      </w:r>
    </w:p>
    <w:p w:rsidR="00D20D3C" w:rsidRPr="00FA5D84" w:rsidRDefault="00FA5D84" w:rsidP="00D20D3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                </w:t>
      </w:r>
      <w:r w:rsidRPr="00FA5D84">
        <w:rPr>
          <w:noProof/>
        </w:rPr>
        <w:drawing>
          <wp:inline distT="0" distB="0" distL="0" distR="0">
            <wp:extent cx="6249798" cy="791423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706" cy="791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lang w:val="ka-GE"/>
        </w:rPr>
        <w:t xml:space="preserve">  </w:t>
      </w:r>
    </w:p>
    <w:p w:rsidR="00D20D3C" w:rsidRDefault="00D20D3C" w:rsidP="00D20D3C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lastRenderedPageBreak/>
        <w:t>ასევე წარმოგიდგე</w:t>
      </w:r>
      <w:r w:rsidR="00756436">
        <w:rPr>
          <w:rFonts w:ascii="Sylfaen" w:eastAsia="Times New Roman" w:hAnsi="Sylfaen" w:cs="Times New Roman"/>
          <w:sz w:val="24"/>
          <w:szCs w:val="24"/>
          <w:lang w:val="ka-GE"/>
        </w:rPr>
        <w:t xml:space="preserve">ნთ ერთსა და იმავე მომსახურებაზე, ამ შემთხვევაში შუნტირებაზე,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სხვადასხვა დაწესებულებების მიერ მ</w:t>
      </w:r>
      <w:r w:rsidR="00756436">
        <w:rPr>
          <w:rFonts w:ascii="Sylfaen" w:eastAsia="Times New Roman" w:hAnsi="Sylfaen" w:cs="Times New Roman"/>
          <w:sz w:val="24"/>
          <w:szCs w:val="24"/>
          <w:lang w:val="ka-GE"/>
        </w:rPr>
        <w:t xml:space="preserve">ოწოდებულ ხარჯთაღრიცხვას, რომლის კომპონენტებს შორის სხვაობა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კიდევ ერთხელ ადასტურებს დაგეგმილი რეფორმის </w:t>
      </w:r>
      <w:r w:rsidR="00756436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საჭიროებას და 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მიზანშეწონილობას.</w:t>
      </w:r>
    </w:p>
    <w:p w:rsidR="00D20D3C" w:rsidRDefault="00D20D3C" w:rsidP="00D20D3C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tbl>
      <w:tblPr>
        <w:tblStyle w:val="TableGrid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53"/>
        <w:gridCol w:w="1800"/>
        <w:gridCol w:w="1134"/>
        <w:gridCol w:w="1134"/>
        <w:gridCol w:w="1134"/>
        <w:gridCol w:w="851"/>
        <w:gridCol w:w="1134"/>
        <w:gridCol w:w="1134"/>
      </w:tblGrid>
      <w:tr w:rsidR="00756436" w:rsidRPr="00D20D3C" w:rsidTr="00756436">
        <w:trPr>
          <w:trHeight w:val="743"/>
        </w:trPr>
        <w:tc>
          <w:tcPr>
            <w:tcW w:w="2453" w:type="dxa"/>
            <w:hideMark/>
          </w:tcPr>
          <w:p w:rsidR="00D20D3C" w:rsidRPr="00D20D3C" w:rsidRDefault="00D20D3C" w:rsidP="00D20D3C">
            <w:pPr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20D3C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hideMark/>
          </w:tcPr>
          <w:p w:rsidR="00D20D3C" w:rsidRPr="00756436" w:rsidRDefault="00D20D3C" w:rsidP="00756436">
            <w:pPr>
              <w:jc w:val="center"/>
              <w:rPr>
                <w:rFonts w:ascii="Sylfaen" w:eastAsia="Times New Roman" w:hAnsi="Sylfaen" w:cs="Times New Roman"/>
                <w:szCs w:val="24"/>
              </w:rPr>
            </w:pPr>
            <w:r w:rsidRPr="00756436">
              <w:rPr>
                <w:rFonts w:ascii="Sylfaen" w:eastAsia="Times New Roman" w:hAnsi="Sylfaen" w:cs="Times New Roman"/>
                <w:sz w:val="20"/>
                <w:szCs w:val="24"/>
              </w:rPr>
              <w:t>არაპირდაპირი ხარჯი</w:t>
            </w:r>
          </w:p>
        </w:tc>
        <w:tc>
          <w:tcPr>
            <w:tcW w:w="1134" w:type="dxa"/>
            <w:hideMark/>
          </w:tcPr>
          <w:p w:rsidR="00D20D3C" w:rsidRPr="00756436" w:rsidRDefault="00D20D3C" w:rsidP="00D20D3C">
            <w:pPr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756436">
              <w:rPr>
                <w:rFonts w:ascii="Sylfaen" w:eastAsia="Times New Roman" w:hAnsi="Sylfaen" w:cs="Times New Roman"/>
                <w:sz w:val="20"/>
                <w:szCs w:val="24"/>
              </w:rPr>
              <w:t>ხელფასი</w:t>
            </w:r>
          </w:p>
        </w:tc>
        <w:tc>
          <w:tcPr>
            <w:tcW w:w="1134" w:type="dxa"/>
            <w:hideMark/>
          </w:tcPr>
          <w:p w:rsidR="00D20D3C" w:rsidRPr="00756436" w:rsidRDefault="00D20D3C" w:rsidP="00D20D3C">
            <w:pPr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756436">
              <w:rPr>
                <w:rFonts w:ascii="Sylfaen" w:eastAsia="Times New Roman" w:hAnsi="Sylfaen" w:cs="Times New Roman"/>
                <w:sz w:val="20"/>
                <w:szCs w:val="24"/>
              </w:rPr>
              <w:t>მოგება</w:t>
            </w:r>
          </w:p>
        </w:tc>
        <w:tc>
          <w:tcPr>
            <w:tcW w:w="1134" w:type="dxa"/>
            <w:hideMark/>
          </w:tcPr>
          <w:p w:rsidR="00756436" w:rsidRDefault="00756436" w:rsidP="00D20D3C">
            <w:pPr>
              <w:rPr>
                <w:rFonts w:ascii="Sylfaen" w:eastAsia="Times New Roman" w:hAnsi="Sylfaen" w:cs="Times New Roman"/>
                <w:sz w:val="20"/>
                <w:szCs w:val="24"/>
              </w:rPr>
            </w:pPr>
            <w:r>
              <w:rPr>
                <w:rFonts w:ascii="Sylfaen" w:eastAsia="Times New Roman" w:hAnsi="Sylfaen" w:cs="Times New Roman"/>
                <w:sz w:val="20"/>
                <w:szCs w:val="24"/>
              </w:rPr>
              <w:t>მედიკ.</w:t>
            </w:r>
          </w:p>
          <w:p w:rsidR="00D20D3C" w:rsidRPr="00756436" w:rsidRDefault="00D20D3C" w:rsidP="00D20D3C">
            <w:pPr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756436">
              <w:rPr>
                <w:rFonts w:ascii="Sylfaen" w:eastAsia="Times New Roman" w:hAnsi="Sylfaen" w:cs="Times New Roman"/>
                <w:sz w:val="20"/>
                <w:szCs w:val="24"/>
              </w:rPr>
              <w:t>ხარჯი</w:t>
            </w:r>
          </w:p>
        </w:tc>
        <w:tc>
          <w:tcPr>
            <w:tcW w:w="851" w:type="dxa"/>
            <w:hideMark/>
          </w:tcPr>
          <w:p w:rsidR="00D20D3C" w:rsidRPr="00756436" w:rsidRDefault="00D20D3C" w:rsidP="00D20D3C">
            <w:pPr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756436">
              <w:rPr>
                <w:rFonts w:ascii="Sylfaen" w:eastAsia="Times New Roman" w:hAnsi="Sylfaen" w:cs="Times New Roman"/>
                <w:sz w:val="20"/>
                <w:szCs w:val="24"/>
              </w:rPr>
              <w:t>მექ. ხარჯი</w:t>
            </w:r>
          </w:p>
        </w:tc>
        <w:tc>
          <w:tcPr>
            <w:tcW w:w="1134" w:type="dxa"/>
            <w:hideMark/>
          </w:tcPr>
          <w:p w:rsidR="00D20D3C" w:rsidRPr="00756436" w:rsidRDefault="00D20D3C" w:rsidP="00D20D3C">
            <w:pPr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756436">
              <w:rPr>
                <w:rFonts w:ascii="Sylfaen" w:eastAsia="Times New Roman" w:hAnsi="Sylfaen" w:cs="Times New Roman"/>
                <w:sz w:val="20"/>
                <w:szCs w:val="24"/>
              </w:rPr>
              <w:t>ბიოლოგ. ხარჯი</w:t>
            </w:r>
          </w:p>
        </w:tc>
        <w:tc>
          <w:tcPr>
            <w:tcW w:w="1134" w:type="dxa"/>
            <w:hideMark/>
          </w:tcPr>
          <w:p w:rsidR="00D20D3C" w:rsidRPr="00756436" w:rsidRDefault="00D20D3C" w:rsidP="00D20D3C">
            <w:pPr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756436">
              <w:rPr>
                <w:rFonts w:ascii="Sylfaen" w:eastAsia="Times New Roman" w:hAnsi="Sylfaen" w:cs="Times New Roman"/>
                <w:sz w:val="20"/>
                <w:szCs w:val="24"/>
              </w:rPr>
              <w:t>ჯამი</w:t>
            </w:r>
          </w:p>
        </w:tc>
      </w:tr>
      <w:tr w:rsidR="00756436" w:rsidRPr="00D20D3C" w:rsidTr="00756436">
        <w:trPr>
          <w:trHeight w:val="638"/>
        </w:trPr>
        <w:tc>
          <w:tcPr>
            <w:tcW w:w="2453" w:type="dxa"/>
            <w:hideMark/>
          </w:tcPr>
          <w:p w:rsidR="00D20D3C" w:rsidRPr="00756436" w:rsidRDefault="00756436" w:rsidP="00D20D3C">
            <w:pPr>
              <w:rPr>
                <w:rFonts w:ascii="Sylfaen" w:eastAsia="Times New Roman" w:hAnsi="Sylfaen" w:cs="Times New Roman"/>
                <w:szCs w:val="24"/>
                <w:lang w:val="ka-GE"/>
              </w:rPr>
            </w:pPr>
            <w:r w:rsidRPr="00756436">
              <w:rPr>
                <w:rFonts w:ascii="Sylfaen" w:eastAsia="Times New Roman" w:hAnsi="Sylfaen" w:cs="Times New Roman"/>
                <w:szCs w:val="24"/>
                <w:lang w:val="ka-GE"/>
              </w:rPr>
              <w:t>ბოხუას სახელობის კარდიოვასკულური ცენტრი</w:t>
            </w:r>
          </w:p>
        </w:tc>
        <w:tc>
          <w:tcPr>
            <w:tcW w:w="1800" w:type="dxa"/>
            <w:hideMark/>
          </w:tcPr>
          <w:p w:rsidR="00D20D3C" w:rsidRPr="00756436" w:rsidRDefault="00D20D3C" w:rsidP="00D20D3C">
            <w:pPr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6436">
              <w:rPr>
                <w:rFonts w:ascii="Sylfaen" w:eastAsia="Times New Roman" w:hAnsi="Sylfaen" w:cs="Times New Roman"/>
                <w:sz w:val="24"/>
                <w:szCs w:val="24"/>
              </w:rPr>
              <w:t>2016.5</w:t>
            </w:r>
          </w:p>
        </w:tc>
        <w:tc>
          <w:tcPr>
            <w:tcW w:w="1134" w:type="dxa"/>
            <w:hideMark/>
          </w:tcPr>
          <w:p w:rsidR="00D20D3C" w:rsidRPr="00756436" w:rsidRDefault="00D20D3C" w:rsidP="00D20D3C">
            <w:pPr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6436">
              <w:rPr>
                <w:rFonts w:ascii="Sylfaen" w:eastAsia="Times New Roman" w:hAnsi="Sylfaen" w:cs="Times New Roman"/>
                <w:sz w:val="24"/>
                <w:szCs w:val="24"/>
              </w:rPr>
              <w:t>4094.86</w:t>
            </w:r>
          </w:p>
        </w:tc>
        <w:tc>
          <w:tcPr>
            <w:tcW w:w="1134" w:type="dxa"/>
            <w:hideMark/>
          </w:tcPr>
          <w:p w:rsidR="00D20D3C" w:rsidRPr="00756436" w:rsidRDefault="00D20D3C" w:rsidP="00D20D3C">
            <w:pPr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6436">
              <w:rPr>
                <w:rFonts w:ascii="Sylfaen" w:eastAsia="Times New Roman" w:hAnsi="Sylfaen" w:cs="Times New Roman"/>
                <w:sz w:val="24"/>
                <w:szCs w:val="24"/>
              </w:rPr>
              <w:t>1377.09</w:t>
            </w:r>
          </w:p>
        </w:tc>
        <w:tc>
          <w:tcPr>
            <w:tcW w:w="1134" w:type="dxa"/>
            <w:hideMark/>
          </w:tcPr>
          <w:p w:rsidR="00D20D3C" w:rsidRPr="00756436" w:rsidRDefault="00D20D3C" w:rsidP="00D20D3C">
            <w:pPr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6436">
              <w:rPr>
                <w:rFonts w:ascii="Sylfaen" w:eastAsia="Times New Roman" w:hAnsi="Sylfaen" w:cs="Times New Roman"/>
                <w:sz w:val="24"/>
                <w:szCs w:val="24"/>
              </w:rPr>
              <w:t>1629.05</w:t>
            </w:r>
          </w:p>
        </w:tc>
        <w:tc>
          <w:tcPr>
            <w:tcW w:w="851" w:type="dxa"/>
            <w:hideMark/>
          </w:tcPr>
          <w:p w:rsidR="00D20D3C" w:rsidRPr="00756436" w:rsidRDefault="00D20D3C" w:rsidP="00D20D3C">
            <w:pPr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6436">
              <w:rPr>
                <w:rFonts w:ascii="Sylfaen" w:eastAsia="Times New Roman" w:hAnsi="Sylfae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D20D3C" w:rsidRPr="00756436" w:rsidRDefault="00D20D3C" w:rsidP="00D20D3C">
            <w:pPr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6436">
              <w:rPr>
                <w:rFonts w:ascii="Sylfaen" w:eastAsia="Times New Roman" w:hAnsi="Sylfae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D20D3C" w:rsidRPr="00756436" w:rsidRDefault="00D20D3C" w:rsidP="00D20D3C">
            <w:pPr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6436">
              <w:rPr>
                <w:rFonts w:ascii="Sylfaen" w:eastAsia="Times New Roman" w:hAnsi="Sylfaen" w:cs="Times New Roman"/>
                <w:sz w:val="24"/>
                <w:szCs w:val="24"/>
              </w:rPr>
              <w:t>9117.5</w:t>
            </w:r>
          </w:p>
        </w:tc>
      </w:tr>
      <w:tr w:rsidR="00756436" w:rsidRPr="00D20D3C" w:rsidTr="00756436">
        <w:trPr>
          <w:trHeight w:val="638"/>
        </w:trPr>
        <w:tc>
          <w:tcPr>
            <w:tcW w:w="2453" w:type="dxa"/>
          </w:tcPr>
          <w:p w:rsidR="00756436" w:rsidRPr="00756436" w:rsidRDefault="00756436" w:rsidP="00D20D3C">
            <w:pPr>
              <w:rPr>
                <w:rFonts w:ascii="Sylfaen" w:eastAsia="Times New Roman" w:hAnsi="Sylfaen" w:cs="Times New Roman"/>
                <w:szCs w:val="24"/>
                <w:lang w:val="ka-GE"/>
              </w:rPr>
            </w:pPr>
            <w:r w:rsidRPr="00756436">
              <w:rPr>
                <w:rFonts w:ascii="Sylfaen" w:eastAsia="Times New Roman" w:hAnsi="Sylfaen" w:cs="Times New Roman"/>
                <w:szCs w:val="24"/>
                <w:lang w:val="ka-GE"/>
              </w:rPr>
              <w:t>ჩაფიძის გულის ცენტრი</w:t>
            </w:r>
          </w:p>
        </w:tc>
        <w:tc>
          <w:tcPr>
            <w:tcW w:w="1800" w:type="dxa"/>
          </w:tcPr>
          <w:p w:rsidR="00756436" w:rsidRPr="00756436" w:rsidRDefault="00756436" w:rsidP="00D20D3C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7564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3781.4</w:t>
            </w:r>
          </w:p>
        </w:tc>
        <w:tc>
          <w:tcPr>
            <w:tcW w:w="1134" w:type="dxa"/>
          </w:tcPr>
          <w:p w:rsidR="00756436" w:rsidRPr="00756436" w:rsidRDefault="00756436" w:rsidP="00D20D3C">
            <w:pPr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64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3983</w:t>
            </w:r>
          </w:p>
        </w:tc>
        <w:tc>
          <w:tcPr>
            <w:tcW w:w="1134" w:type="dxa"/>
          </w:tcPr>
          <w:p w:rsidR="00756436" w:rsidRPr="00756436" w:rsidRDefault="00756436" w:rsidP="00D20D3C">
            <w:pPr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64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1080.4</w:t>
            </w:r>
          </w:p>
        </w:tc>
        <w:tc>
          <w:tcPr>
            <w:tcW w:w="1134" w:type="dxa"/>
          </w:tcPr>
          <w:p w:rsidR="00756436" w:rsidRPr="00756436" w:rsidRDefault="00756436" w:rsidP="00D20D3C">
            <w:pPr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64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2642.09</w:t>
            </w:r>
          </w:p>
        </w:tc>
        <w:tc>
          <w:tcPr>
            <w:tcW w:w="851" w:type="dxa"/>
          </w:tcPr>
          <w:p w:rsidR="00756436" w:rsidRPr="00756436" w:rsidRDefault="00756436" w:rsidP="00D20D3C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756436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0</w:t>
            </w:r>
          </w:p>
        </w:tc>
        <w:tc>
          <w:tcPr>
            <w:tcW w:w="1134" w:type="dxa"/>
          </w:tcPr>
          <w:p w:rsidR="00756436" w:rsidRPr="00756436" w:rsidRDefault="00756436" w:rsidP="00D20D3C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756436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0</w:t>
            </w:r>
          </w:p>
        </w:tc>
        <w:tc>
          <w:tcPr>
            <w:tcW w:w="1134" w:type="dxa"/>
          </w:tcPr>
          <w:p w:rsidR="00756436" w:rsidRPr="00756436" w:rsidRDefault="00756436" w:rsidP="00D20D3C">
            <w:pPr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64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11486.89</w:t>
            </w:r>
          </w:p>
        </w:tc>
      </w:tr>
      <w:tr w:rsidR="00756436" w:rsidRPr="00D20D3C" w:rsidTr="00756436">
        <w:trPr>
          <w:trHeight w:val="638"/>
        </w:trPr>
        <w:tc>
          <w:tcPr>
            <w:tcW w:w="2453" w:type="dxa"/>
          </w:tcPr>
          <w:p w:rsidR="00756436" w:rsidRPr="00756436" w:rsidRDefault="00756436" w:rsidP="00D20D3C">
            <w:pPr>
              <w:rPr>
                <w:rFonts w:ascii="Sylfaen" w:eastAsia="Times New Roman" w:hAnsi="Sylfaen" w:cs="Times New Roman"/>
                <w:szCs w:val="24"/>
                <w:lang w:val="ka-GE"/>
              </w:rPr>
            </w:pPr>
            <w:r w:rsidRPr="00756436">
              <w:rPr>
                <w:rFonts w:ascii="Sylfaen" w:eastAsia="Times New Roman" w:hAnsi="Sylfaen" w:cs="Times New Roman"/>
                <w:szCs w:val="24"/>
                <w:lang w:val="ka-GE"/>
              </w:rPr>
              <w:t>კლინიკა ჰელსიკორი</w:t>
            </w:r>
          </w:p>
        </w:tc>
        <w:tc>
          <w:tcPr>
            <w:tcW w:w="1800" w:type="dxa"/>
          </w:tcPr>
          <w:p w:rsidR="00756436" w:rsidRPr="00756436" w:rsidRDefault="00756436" w:rsidP="00D20D3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436">
              <w:rPr>
                <w:rFonts w:ascii="Sylfaen" w:hAnsi="Sylfaen"/>
                <w:sz w:val="24"/>
                <w:szCs w:val="24"/>
              </w:rPr>
              <w:t>3477.68</w:t>
            </w:r>
          </w:p>
        </w:tc>
        <w:tc>
          <w:tcPr>
            <w:tcW w:w="1134" w:type="dxa"/>
          </w:tcPr>
          <w:p w:rsidR="00756436" w:rsidRPr="00756436" w:rsidRDefault="00756436" w:rsidP="00D20D3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436">
              <w:rPr>
                <w:rFonts w:ascii="Sylfaen" w:hAnsi="Sylfaen"/>
                <w:sz w:val="24"/>
                <w:szCs w:val="24"/>
              </w:rPr>
              <w:t>3510</w:t>
            </w:r>
          </w:p>
        </w:tc>
        <w:tc>
          <w:tcPr>
            <w:tcW w:w="1134" w:type="dxa"/>
          </w:tcPr>
          <w:p w:rsidR="00756436" w:rsidRPr="00756436" w:rsidRDefault="00756436" w:rsidP="00D20D3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436">
              <w:rPr>
                <w:rFonts w:ascii="Sylfaen" w:hAnsi="Sylfaen"/>
                <w:sz w:val="24"/>
                <w:szCs w:val="24"/>
              </w:rPr>
              <w:t>2924.61</w:t>
            </w:r>
          </w:p>
        </w:tc>
        <w:tc>
          <w:tcPr>
            <w:tcW w:w="1134" w:type="dxa"/>
          </w:tcPr>
          <w:p w:rsidR="00756436" w:rsidRPr="00756436" w:rsidRDefault="00756436" w:rsidP="00D20D3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436">
              <w:rPr>
                <w:rFonts w:ascii="Sylfaen" w:hAnsi="Sylfaen"/>
                <w:sz w:val="24"/>
                <w:szCs w:val="24"/>
              </w:rPr>
              <w:t>1346.51</w:t>
            </w:r>
          </w:p>
        </w:tc>
        <w:tc>
          <w:tcPr>
            <w:tcW w:w="851" w:type="dxa"/>
          </w:tcPr>
          <w:p w:rsidR="00756436" w:rsidRPr="00756436" w:rsidRDefault="00756436" w:rsidP="00D20D3C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756436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56436" w:rsidRPr="00756436" w:rsidRDefault="00756436" w:rsidP="00D20D3C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756436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56436" w:rsidRPr="00756436" w:rsidRDefault="00756436" w:rsidP="00D20D3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436">
              <w:rPr>
                <w:rFonts w:ascii="Sylfaen" w:hAnsi="Sylfaen"/>
                <w:sz w:val="24"/>
                <w:szCs w:val="24"/>
              </w:rPr>
              <w:t>11258.8</w:t>
            </w:r>
          </w:p>
        </w:tc>
      </w:tr>
      <w:tr w:rsidR="00756436" w:rsidRPr="00D20D3C" w:rsidTr="00756436">
        <w:trPr>
          <w:trHeight w:val="638"/>
        </w:trPr>
        <w:tc>
          <w:tcPr>
            <w:tcW w:w="2453" w:type="dxa"/>
          </w:tcPr>
          <w:p w:rsidR="00756436" w:rsidRPr="00756436" w:rsidRDefault="00756436" w:rsidP="00D20D3C">
            <w:pPr>
              <w:rPr>
                <w:rFonts w:ascii="Sylfaen" w:eastAsia="Times New Roman" w:hAnsi="Sylfaen" w:cs="Times New Roman"/>
                <w:szCs w:val="24"/>
                <w:lang w:val="ka-GE"/>
              </w:rPr>
            </w:pPr>
            <w:r w:rsidRPr="00756436">
              <w:rPr>
                <w:rFonts w:ascii="Sylfaen" w:eastAsia="Times New Roman" w:hAnsi="Sylfaen" w:cs="Times New Roman"/>
                <w:szCs w:val="24"/>
                <w:lang w:val="ka-GE"/>
              </w:rPr>
              <w:t>რეგიონული ჰოსპიტალი</w:t>
            </w:r>
          </w:p>
        </w:tc>
        <w:tc>
          <w:tcPr>
            <w:tcW w:w="1800" w:type="dxa"/>
          </w:tcPr>
          <w:p w:rsidR="00756436" w:rsidRPr="00756436" w:rsidRDefault="00756436" w:rsidP="00D20D3C">
            <w:pPr>
              <w:rPr>
                <w:rFonts w:ascii="Sylfaen" w:hAnsi="Sylfaen"/>
                <w:sz w:val="24"/>
                <w:szCs w:val="24"/>
              </w:rPr>
            </w:pPr>
            <w:r w:rsidRPr="007564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2181.67</w:t>
            </w:r>
          </w:p>
        </w:tc>
        <w:tc>
          <w:tcPr>
            <w:tcW w:w="1134" w:type="dxa"/>
          </w:tcPr>
          <w:p w:rsidR="00756436" w:rsidRPr="00756436" w:rsidRDefault="00756436" w:rsidP="00D20D3C">
            <w:pPr>
              <w:rPr>
                <w:rFonts w:ascii="Sylfaen" w:hAnsi="Sylfaen"/>
                <w:sz w:val="24"/>
                <w:szCs w:val="24"/>
              </w:rPr>
            </w:pPr>
            <w:r w:rsidRPr="007564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4375</w:t>
            </w:r>
          </w:p>
        </w:tc>
        <w:tc>
          <w:tcPr>
            <w:tcW w:w="1134" w:type="dxa"/>
          </w:tcPr>
          <w:p w:rsidR="00756436" w:rsidRPr="00756436" w:rsidRDefault="00756436" w:rsidP="00D20D3C">
            <w:pPr>
              <w:rPr>
                <w:rFonts w:ascii="Sylfaen" w:hAnsi="Sylfaen"/>
                <w:sz w:val="24"/>
                <w:szCs w:val="24"/>
              </w:rPr>
            </w:pPr>
            <w:r w:rsidRPr="007564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512.76</w:t>
            </w:r>
          </w:p>
        </w:tc>
        <w:tc>
          <w:tcPr>
            <w:tcW w:w="1134" w:type="dxa"/>
          </w:tcPr>
          <w:p w:rsidR="00756436" w:rsidRPr="00756436" w:rsidRDefault="00756436" w:rsidP="00D20D3C">
            <w:pPr>
              <w:rPr>
                <w:rFonts w:ascii="Sylfaen" w:hAnsi="Sylfaen"/>
                <w:sz w:val="24"/>
                <w:szCs w:val="24"/>
              </w:rPr>
            </w:pPr>
            <w:r w:rsidRPr="007564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1943.09</w:t>
            </w:r>
          </w:p>
        </w:tc>
        <w:tc>
          <w:tcPr>
            <w:tcW w:w="851" w:type="dxa"/>
          </w:tcPr>
          <w:p w:rsidR="00756436" w:rsidRPr="00756436" w:rsidRDefault="00756436" w:rsidP="00D20D3C">
            <w:pPr>
              <w:rPr>
                <w:rFonts w:ascii="Sylfaen" w:hAnsi="Sylfaen"/>
                <w:sz w:val="24"/>
                <w:szCs w:val="24"/>
              </w:rPr>
            </w:pPr>
            <w:r w:rsidRPr="007564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56436" w:rsidRPr="00756436" w:rsidRDefault="00756436" w:rsidP="00D20D3C">
            <w:pPr>
              <w:rPr>
                <w:rFonts w:ascii="Sylfaen" w:hAnsi="Sylfaen"/>
                <w:sz w:val="24"/>
                <w:szCs w:val="24"/>
              </w:rPr>
            </w:pPr>
            <w:r w:rsidRPr="007564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56436" w:rsidRPr="00756436" w:rsidRDefault="00756436" w:rsidP="00D20D3C">
            <w:pPr>
              <w:rPr>
                <w:rFonts w:ascii="Sylfaen" w:hAnsi="Sylfaen"/>
                <w:sz w:val="24"/>
                <w:szCs w:val="24"/>
              </w:rPr>
            </w:pPr>
            <w:r w:rsidRPr="007564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9012.52</w:t>
            </w:r>
          </w:p>
        </w:tc>
      </w:tr>
      <w:tr w:rsidR="00756436" w:rsidRPr="00D20D3C" w:rsidTr="00756436">
        <w:trPr>
          <w:trHeight w:val="638"/>
        </w:trPr>
        <w:tc>
          <w:tcPr>
            <w:tcW w:w="2453" w:type="dxa"/>
          </w:tcPr>
          <w:p w:rsidR="00756436" w:rsidRPr="00756436" w:rsidRDefault="00756436" w:rsidP="00D20D3C">
            <w:pPr>
              <w:rPr>
                <w:rFonts w:ascii="Sylfaen" w:eastAsia="Times New Roman" w:hAnsi="Sylfaen" w:cs="Times New Roman"/>
                <w:szCs w:val="24"/>
                <w:lang w:val="ka-GE"/>
              </w:rPr>
            </w:pPr>
            <w:r w:rsidRPr="00756436">
              <w:rPr>
                <w:rFonts w:ascii="Sylfaen" w:eastAsia="Times New Roman" w:hAnsi="Sylfaen" w:cs="Times New Roman"/>
                <w:szCs w:val="24"/>
                <w:lang w:val="ka-GE"/>
              </w:rPr>
              <w:t>კლინიკა ჯერარსი</w:t>
            </w:r>
          </w:p>
        </w:tc>
        <w:tc>
          <w:tcPr>
            <w:tcW w:w="1800" w:type="dxa"/>
          </w:tcPr>
          <w:p w:rsidR="00756436" w:rsidRPr="00756436" w:rsidRDefault="00756436" w:rsidP="00D20D3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4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5945.11</w:t>
            </w:r>
          </w:p>
        </w:tc>
        <w:tc>
          <w:tcPr>
            <w:tcW w:w="1134" w:type="dxa"/>
          </w:tcPr>
          <w:p w:rsidR="00756436" w:rsidRPr="00756436" w:rsidRDefault="00756436" w:rsidP="00D20D3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4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3232.06</w:t>
            </w:r>
          </w:p>
        </w:tc>
        <w:tc>
          <w:tcPr>
            <w:tcW w:w="1134" w:type="dxa"/>
          </w:tcPr>
          <w:p w:rsidR="00756436" w:rsidRPr="00756436" w:rsidRDefault="00756436" w:rsidP="00D20D3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4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56436" w:rsidRPr="00756436" w:rsidRDefault="00756436" w:rsidP="00D20D3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4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2362.39</w:t>
            </w:r>
          </w:p>
        </w:tc>
        <w:tc>
          <w:tcPr>
            <w:tcW w:w="851" w:type="dxa"/>
          </w:tcPr>
          <w:p w:rsidR="00756436" w:rsidRPr="00756436" w:rsidRDefault="00756436" w:rsidP="00D20D3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4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56436" w:rsidRPr="00756436" w:rsidRDefault="00756436" w:rsidP="00D20D3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4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56436" w:rsidRPr="00756436" w:rsidRDefault="00756436" w:rsidP="00D20D3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4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11539.56</w:t>
            </w:r>
          </w:p>
        </w:tc>
      </w:tr>
    </w:tbl>
    <w:p w:rsidR="00933DF6" w:rsidRDefault="00933DF6">
      <w:pPr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9B4C82" w:rsidRDefault="009B4C82">
      <w:pPr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წერილში ასევე  მოხსენიებულია კონკრეტული შემთხვევა, რომელიც არითმოლოგიის ტარიფს ეხება. შესაძლოა ამ მიმართულებაში იმპლანტაციისთვის საჭირო აპარატი ძვირადღირებულია, თუმცა უშუალოდ იმპლანტაციის მომსახურების ფასის დარეგულირებით, დაწესებულებას თავისუფლად შეუძლია მიაწოდოს სერვისი განსაზღვრული ტარიფის ფარგლებში.</w:t>
      </w:r>
    </w:p>
    <w:p w:rsidR="001C2DE2" w:rsidRPr="00A9356B" w:rsidRDefault="00933DF6">
      <w:pPr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საყოველთაო ჯანდაცვის პ</w:t>
      </w:r>
      <w:r w:rsidR="00236CAF">
        <w:rPr>
          <w:rFonts w:ascii="Sylfaen" w:eastAsia="Times New Roman" w:hAnsi="Sylfaen" w:cs="Times New Roman"/>
          <w:sz w:val="24"/>
          <w:szCs w:val="24"/>
          <w:lang w:val="ka-GE"/>
        </w:rPr>
        <w:t>ორგრამამ მნიშვნელოვნად გაზარდა მოსახლეობის  ხელმისაწვდომობა სერვისებზე. ამავდროულად გაიზარდა როგორც კლინიკების რაოდენობა</w:t>
      </w:r>
      <w:r w:rsidR="007056CC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236CAF">
        <w:rPr>
          <w:rFonts w:ascii="Sylfaen" w:eastAsia="Times New Roman" w:hAnsi="Sylfaen" w:cs="Times New Roman"/>
          <w:sz w:val="24"/>
          <w:szCs w:val="24"/>
          <w:lang w:val="ka-GE"/>
        </w:rPr>
        <w:t xml:space="preserve">ისე  მოგების მაჩვენებელი, რომელიც დღეს 35%-ს აღწევს. </w:t>
      </w:r>
      <w:bookmarkStart w:id="0" w:name="_GoBack"/>
      <w:r w:rsidR="00535F81" w:rsidRPr="00A9356B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>კერძო სექტორის განვითარება, რა თქმა უნდა, მნიშვნელოვანი საკითხია, თუმცა დღეს აღმოვჩნდით იმ რეალობის წინაშე, რომ კლინიკების რაოდენობა მოსახლეობის რიცხვთან მიმართებაში საჭიროზე ბევრად მაღალია, ამავდროუ</w:t>
      </w:r>
      <w:r w:rsidR="007056CC" w:rsidRPr="00A9356B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>ლად არათანაბარია მათი სმძლავრე და საწოლფონდის</w:t>
      </w:r>
      <w:r w:rsidR="00D61CC2" w:rsidRPr="00A9356B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 xml:space="preserve"> დატვირთვა, </w:t>
      </w:r>
      <w:r w:rsidR="007056CC" w:rsidRPr="00A9356B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 xml:space="preserve">რომელიც დღეს მხოლოდ 47 %-ს უტოლდება, მაშინ, როდესაც საერთაშორისო სტანდარტის შესაბამისად ეს მაჩვენებელი მინიმუმ 80% უნდა იყოს.  </w:t>
      </w:r>
      <w:r w:rsidR="000C3BC9" w:rsidRPr="00A9356B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 xml:space="preserve">კლინიკების მაღალი რაოდენობა </w:t>
      </w:r>
      <w:r w:rsidR="007056CC" w:rsidRPr="00A9356B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 xml:space="preserve">და დაბალი დატვირთვა </w:t>
      </w:r>
      <w:r w:rsidR="000C3BC9" w:rsidRPr="00A9356B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>ავტომატურად იწვევს ადმინისტრაციული</w:t>
      </w:r>
      <w:r w:rsidR="007056CC" w:rsidRPr="00A9356B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 xml:space="preserve">, კომუნალური, ცვეთის და სხვა მსგავსი ხარჯების ზრდას, რამაც  </w:t>
      </w:r>
      <w:r w:rsidR="001C2DE2" w:rsidRPr="00A9356B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 xml:space="preserve">საბოლოოდ გამოიწვია </w:t>
      </w:r>
      <w:r w:rsidR="000C3BC9" w:rsidRPr="00A9356B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>მომსახუ</w:t>
      </w:r>
      <w:r w:rsidR="001C2DE2" w:rsidRPr="00A9356B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>რების ფასის ხელოვნური გაზრდა</w:t>
      </w:r>
      <w:r w:rsidR="000C3BC9" w:rsidRPr="00A9356B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 xml:space="preserve">  და შესაბამისად საყოველთაო ჯანდაცვის პროგრამით გაცემული თანხები</w:t>
      </w:r>
      <w:r w:rsidR="00D61CC2" w:rsidRPr="00A9356B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>ც</w:t>
      </w:r>
      <w:r w:rsidR="000C3BC9" w:rsidRPr="00A9356B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 xml:space="preserve"> ნაკლებად მიზრნობრივი </w:t>
      </w:r>
      <w:r w:rsidR="001C2DE2" w:rsidRPr="00A9356B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 xml:space="preserve">გახდა. ხარჯთაღრიცხვის შესწავლის პროცესში ასევე გამოიკვეთა </w:t>
      </w:r>
      <w:r w:rsidR="00D61CC2" w:rsidRPr="00A9356B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 xml:space="preserve">კლინიკის მიერ </w:t>
      </w:r>
      <w:r w:rsidR="001C2DE2" w:rsidRPr="00A9356B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 xml:space="preserve">სახელფასო ხარჯების მაღალი </w:t>
      </w:r>
      <w:r w:rsidR="001C2DE2" w:rsidRPr="00A9356B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lastRenderedPageBreak/>
        <w:t xml:space="preserve">მაჩვენებლის დაფიქსირება და რეალურად პერსონალზე გაცილებით ნაკლები თანხების გაცემა. ასევე მრავალჯერადი მოხმარების ნივთების ერთჯერადი მოხმარების საგნებად </w:t>
      </w:r>
      <w:r w:rsidR="00D61CC2" w:rsidRPr="00A9356B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>დაფიქსირება</w:t>
      </w:r>
      <w:r w:rsidR="001C2DE2" w:rsidRPr="00A9356B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 xml:space="preserve">, რაც თავისთავად აისახა მომსახურების მაღალ ფასებში. </w:t>
      </w:r>
    </w:p>
    <w:p w:rsidR="007056CC" w:rsidRPr="00A9356B" w:rsidRDefault="007056CC">
      <w:pPr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</w:pPr>
      <w:r w:rsidRPr="00A9356B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 xml:space="preserve">    სწორედ ამ მოცემულობის გათვალისწინებით,  ახალი ტარიფების დადგენის პროცესში უცვლელად დავტოვეთ პირდაპირი ხარჯები და ცვლილება განვახორციელეთ არაპ</w:t>
      </w:r>
      <w:r w:rsidR="001C2DE2" w:rsidRPr="00A9356B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 xml:space="preserve">ირდაპირი ხარჯების მიმართულებით. </w:t>
      </w:r>
      <w:r w:rsidR="004371BF" w:rsidRPr="00A9356B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>არაპირდაპირი ხარჯის მაქსიმალური განსაზღვრება პირდაპირთან მიმართებაში არის არაუმეტეს 30%-ისა ნოზოლოგიური კო</w:t>
      </w:r>
      <w:r w:rsidR="00771E8A" w:rsidRPr="00A9356B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>დების შესაბამისად.  განფასებისას</w:t>
      </w:r>
      <w:r w:rsidR="004371BF" w:rsidRPr="00A9356B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 xml:space="preserve"> </w:t>
      </w:r>
      <w:r w:rsidR="001C2DE2" w:rsidRPr="00A9356B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 xml:space="preserve">ამოვიღეთ და განვაცალკევეთ  ცვეთისა და საბანკო პროცენტის კომპონენტი, რომელთა დაბალანსება </w:t>
      </w:r>
      <w:r w:rsidR="004371BF" w:rsidRPr="00A9356B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 xml:space="preserve">უნდა მოახდინონ </w:t>
      </w:r>
      <w:r w:rsidR="001C2DE2" w:rsidRPr="00A9356B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>თავად კ</w:t>
      </w:r>
      <w:r w:rsidR="004371BF" w:rsidRPr="00A9356B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>ლინიკებმა</w:t>
      </w:r>
      <w:r w:rsidR="001C2DE2" w:rsidRPr="00A9356B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 xml:space="preserve"> ჩვენ მიერ განსაზღვრულ ნოზ</w:t>
      </w:r>
      <w:r w:rsidR="004371BF" w:rsidRPr="00A9356B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 xml:space="preserve">ოლოგიებზე </w:t>
      </w:r>
      <w:r w:rsidR="001C2DE2" w:rsidRPr="00A9356B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 xml:space="preserve">25%-იანი მოგების მარჟის პირობებში. აღნიშნული მოგების მარჟის ფარგლებში დაწესებულებები მიიღებენ უფრო პასუხსიმგებლიან  გადაწყვეტილებებს აპარატურისა, თუ სხვა საჭიროებების შესყიდვის პროცესში, რაც ამ დრომდე ძირითადად სახელმწიფოს ბიუჯეტის </w:t>
      </w:r>
      <w:r w:rsidR="00771E8A" w:rsidRPr="00A9356B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>ფარგლებში</w:t>
      </w:r>
      <w:r w:rsidR="004371BF" w:rsidRPr="00A9356B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 xml:space="preserve"> ხარჯეფექტურობის გათვალისწინეიბს </w:t>
      </w:r>
      <w:r w:rsidR="001C2DE2" w:rsidRPr="00A9356B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 xml:space="preserve">გარეშე ხორციელდებობა. </w:t>
      </w:r>
    </w:p>
    <w:p w:rsidR="001C2DE2" w:rsidRPr="00A9356B" w:rsidRDefault="001C2DE2">
      <w:pPr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</w:pPr>
      <w:r w:rsidRPr="00A9356B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>მას შემდეგ რაც მოხდება ყველა ნოზოლოგიურ კოდზე ტარიფების განსაზღვრა, შემდგომი დაუყოვნებელი ნაბიჯი იქნება სელექტიური კონტრაქტირება, რომელიც ხარისხის, ხარჯებისა და საწოლფონდის სწორად წარმართვის საფუძველია. სელე</w:t>
      </w:r>
      <w:r w:rsidR="004371BF" w:rsidRPr="00A9356B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 xml:space="preserve">ქტიური კონტრაქტირება დააბალანსებს ქვეყანაში კლინიკების რაოდენობას და საწოლფონდის დატვირთვაც თითქმის გაორმაგდება.  დღეს არსებული უტილიზაციის პირობებში ტარიფები ნაკლებად მომგებიანია, ხოლო საწოლფონდის 80%-იანი დატვირთვის შემთხვევაში, </w:t>
      </w:r>
      <w:r w:rsidR="00771E8A" w:rsidRPr="00A9356B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>ახალი ფასები</w:t>
      </w:r>
      <w:r w:rsidR="004371BF" w:rsidRPr="00A9356B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 xml:space="preserve"> ბევრად მომგებიანი გახდება. სწორედ ამიტომ, ტარიფიკაცია და სელექტიური კონტრაქტირება არა დაბრკოლებული, არამედ პირიქით მხარდაჭერილი უნდა იყოს დაწესებულებების მიერ. </w:t>
      </w:r>
    </w:p>
    <w:bookmarkEnd w:id="0"/>
    <w:p w:rsidR="00535F81" w:rsidRDefault="00236CAF">
      <w:pPr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წერილში ასევე აქცენ</w:t>
      </w:r>
      <w:r w:rsidR="00535F81">
        <w:rPr>
          <w:rFonts w:ascii="Sylfaen" w:eastAsia="Times New Roman" w:hAnsi="Sylfaen" w:cs="Times New Roman"/>
          <w:sz w:val="24"/>
          <w:szCs w:val="24"/>
          <w:lang w:val="ka-GE"/>
        </w:rPr>
        <w:t>ტი გაკეთდა მომსახურების ხარისხთან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, ექიმების </w:t>
      </w:r>
      <w:r w:rsidR="00535F81">
        <w:rPr>
          <w:rFonts w:ascii="Sylfaen" w:eastAsia="Times New Roman" w:hAnsi="Sylfaen" w:cs="Times New Roman"/>
          <w:sz w:val="24"/>
          <w:szCs w:val="24"/>
          <w:lang w:val="ka-GE"/>
        </w:rPr>
        <w:t xml:space="preserve"> გადინებასა და  სისტემასთან დაკავშირებულ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მოსალოდნელ </w:t>
      </w:r>
      <w:r w:rsidR="00FD1F32">
        <w:rPr>
          <w:rFonts w:ascii="Sylfaen" w:eastAsia="Times New Roman" w:hAnsi="Sylfaen" w:cs="Times New Roman"/>
          <w:sz w:val="24"/>
          <w:szCs w:val="24"/>
          <w:lang w:val="ka-GE"/>
        </w:rPr>
        <w:t>პრობლემებზე.</w:t>
      </w:r>
    </w:p>
    <w:p w:rsidR="003E1E90" w:rsidRDefault="00535F81">
      <w:pPr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 </w:t>
      </w:r>
      <w:r w:rsidR="00236CAF">
        <w:rPr>
          <w:rFonts w:ascii="Sylfaen" w:eastAsia="Times New Roman" w:hAnsi="Sylfaen" w:cs="Times New Roman"/>
          <w:sz w:val="24"/>
          <w:szCs w:val="24"/>
          <w:lang w:val="ka-GE"/>
        </w:rPr>
        <w:t xml:space="preserve">განვითარებულ ქვეყნებში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ხარისხიანი </w:t>
      </w:r>
      <w:r w:rsidR="00236CAF">
        <w:rPr>
          <w:rFonts w:ascii="Sylfaen" w:eastAsia="Times New Roman" w:hAnsi="Sylfaen" w:cs="Times New Roman"/>
          <w:sz w:val="24"/>
          <w:szCs w:val="24"/>
          <w:lang w:val="ka-GE"/>
        </w:rPr>
        <w:t xml:space="preserve">მომსახურება არ ნიშნავს ძვირადღირებულ მომსახურებას. </w:t>
      </w:r>
      <w:r w:rsidR="00C23C78">
        <w:rPr>
          <w:rFonts w:ascii="Sylfaen" w:eastAsia="Times New Roman" w:hAnsi="Sylfaen" w:cs="Times New Roman"/>
          <w:sz w:val="24"/>
          <w:szCs w:val="24"/>
          <w:lang w:val="ka-GE"/>
        </w:rPr>
        <w:t xml:space="preserve">განივთარებულ ქვეყნებში კლინიკური მედიცინა არ წარმოადგენს მომგებიან ბიზნესს, როცა  სამედიცინო საქმიანობა ხორციელდება დადგენილი კანონზომიერებით და </w:t>
      </w:r>
      <w:r w:rsidR="00FA5D84">
        <w:rPr>
          <w:rFonts w:ascii="Sylfaen" w:eastAsia="Times New Roman" w:hAnsi="Sylfaen" w:cs="Times New Roman"/>
          <w:sz w:val="24"/>
          <w:szCs w:val="24"/>
          <w:lang w:val="ka-GE"/>
        </w:rPr>
        <w:t xml:space="preserve">პაციენტის ინტერესის  </w:t>
      </w:r>
      <w:r w:rsidR="00C23C78">
        <w:rPr>
          <w:rFonts w:ascii="Sylfaen" w:eastAsia="Times New Roman" w:hAnsi="Sylfaen" w:cs="Times New Roman"/>
          <w:sz w:val="24"/>
          <w:szCs w:val="24"/>
          <w:lang w:val="ka-GE"/>
        </w:rPr>
        <w:t xml:space="preserve">მაქსიმალური დაცვით.  </w:t>
      </w:r>
      <w:r w:rsidR="00FA5D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236CAF">
        <w:rPr>
          <w:rFonts w:ascii="Sylfaen" w:eastAsia="Times New Roman" w:hAnsi="Sylfaen" w:cs="Times New Roman"/>
          <w:sz w:val="24"/>
          <w:szCs w:val="24"/>
          <w:lang w:val="ka-GE"/>
        </w:rPr>
        <w:t>ჩვენს ეროვნულ ჯანდაცვაში კი საწინააღმდეგო მოცემულობაა შექმნილი, რადგან დაწესებულება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="0061597D">
        <w:rPr>
          <w:rFonts w:ascii="Sylfaen" w:eastAsia="Times New Roman" w:hAnsi="Sylfaen" w:cs="Times New Roman"/>
          <w:sz w:val="24"/>
          <w:szCs w:val="24"/>
          <w:lang w:val="ka-GE"/>
        </w:rPr>
        <w:t xml:space="preserve"> ხარისხს უმეტეს </w:t>
      </w:r>
      <w:r w:rsidR="00236CAF">
        <w:rPr>
          <w:rFonts w:ascii="Sylfaen" w:eastAsia="Times New Roman" w:hAnsi="Sylfaen" w:cs="Times New Roman"/>
          <w:sz w:val="24"/>
          <w:szCs w:val="24"/>
          <w:lang w:val="ka-GE"/>
        </w:rPr>
        <w:t xml:space="preserve">წილად აბამს ფინანსურ კომპონენტზე.  სამედიცინო მომსახურების ხარისხს უპირველეს ყოვლისა განსაზღვრავს ექიმის კვალიფიკაცია.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lastRenderedPageBreak/>
        <w:t xml:space="preserve">საქართველოში </w:t>
      </w:r>
      <w:r w:rsidR="00236CAF">
        <w:rPr>
          <w:rFonts w:ascii="Sylfaen" w:eastAsia="Times New Roman" w:hAnsi="Sylfaen" w:cs="Times New Roman"/>
          <w:sz w:val="24"/>
          <w:szCs w:val="24"/>
          <w:lang w:val="ka-GE"/>
        </w:rPr>
        <w:t>სამედიცინო საქმიანობის ხარისხთან დაკავშირებული სტატისტიკა,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236CAF">
        <w:rPr>
          <w:rFonts w:ascii="Sylfaen" w:eastAsia="Times New Roman" w:hAnsi="Sylfaen" w:cs="Times New Roman"/>
          <w:sz w:val="24"/>
          <w:szCs w:val="24"/>
          <w:lang w:val="ka-GE"/>
        </w:rPr>
        <w:t xml:space="preserve"> არც თუ სახარბიელოა.</w:t>
      </w:r>
      <w:r w:rsidR="003E1E90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FD1F32">
        <w:rPr>
          <w:rFonts w:ascii="Sylfaen" w:eastAsia="Times New Roman" w:hAnsi="Sylfaen" w:cs="Times New Roman"/>
          <w:sz w:val="24"/>
          <w:szCs w:val="24"/>
          <w:lang w:val="ka-GE"/>
        </w:rPr>
        <w:t>ამას მოწმობს სტატისტიკაც:</w:t>
      </w:r>
    </w:p>
    <w:p w:rsidR="00236CAF" w:rsidRPr="00FD1F32" w:rsidRDefault="00FD1F32" w:rsidP="003E1E90">
      <w:pPr>
        <w:jc w:val="center"/>
        <w:rPr>
          <w:rFonts w:ascii="Sylfaen" w:eastAsia="Times New Roman" w:hAnsi="Sylfaen" w:cs="Times New Roman"/>
          <w:color w:val="1F3864" w:themeColor="accent5" w:themeShade="80"/>
          <w:sz w:val="24"/>
          <w:szCs w:val="24"/>
          <w:lang w:val="ka-GE"/>
        </w:rPr>
      </w:pPr>
      <w:r w:rsidRPr="00FD1F32">
        <w:rPr>
          <w:rFonts w:ascii="Sylfaen" w:eastAsia="Times New Roman" w:hAnsi="Sylfaen" w:cs="Times New Roman"/>
          <w:color w:val="1F3864" w:themeColor="accent5" w:themeShade="80"/>
          <w:sz w:val="24"/>
          <w:szCs w:val="24"/>
          <w:lang w:val="ka-GE"/>
        </w:rPr>
        <w:t xml:space="preserve">             </w:t>
      </w:r>
      <w:r w:rsidR="003E1E90" w:rsidRPr="00FD1F32">
        <w:rPr>
          <w:rFonts w:ascii="Sylfaen" w:eastAsia="Times New Roman" w:hAnsi="Sylfaen" w:cs="Times New Roman"/>
          <w:color w:val="1F3864" w:themeColor="accent5" w:themeShade="80"/>
          <w:sz w:val="24"/>
          <w:szCs w:val="24"/>
          <w:lang w:val="ka-GE"/>
        </w:rPr>
        <w:t xml:space="preserve"> 2012-2019 წლებში</w:t>
      </w:r>
    </w:p>
    <w:tbl>
      <w:tblPr>
        <w:tblStyle w:val="TableGrid"/>
        <w:tblW w:w="0" w:type="auto"/>
        <w:tblInd w:w="916" w:type="dxa"/>
        <w:tblLook w:val="04A0" w:firstRow="1" w:lastRow="0" w:firstColumn="1" w:lastColumn="0" w:noHBand="0" w:noVBand="1"/>
      </w:tblPr>
      <w:tblGrid>
        <w:gridCol w:w="5665"/>
        <w:gridCol w:w="2628"/>
      </w:tblGrid>
      <w:tr w:rsidR="003E1E90" w:rsidTr="00C23C78">
        <w:trPr>
          <w:trHeight w:val="763"/>
        </w:trPr>
        <w:tc>
          <w:tcPr>
            <w:tcW w:w="5665" w:type="dxa"/>
          </w:tcPr>
          <w:p w:rsidR="003E1E90" w:rsidRDefault="003E1E90" w:rsidP="003E1E90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პროფესიული საბჭოს მიერ განხილული პაციენტების გარდაცვალების საკითხი</w:t>
            </w:r>
          </w:p>
        </w:tc>
        <w:tc>
          <w:tcPr>
            <w:tcW w:w="2628" w:type="dxa"/>
          </w:tcPr>
          <w:p w:rsidR="003E1E90" w:rsidRDefault="003E1E90" w:rsidP="003E1E90">
            <w:pPr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FD1F32"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431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შემთხვევა</w:t>
            </w:r>
          </w:p>
        </w:tc>
      </w:tr>
      <w:tr w:rsidR="003E1E90" w:rsidTr="00C23C78">
        <w:trPr>
          <w:trHeight w:val="546"/>
        </w:trPr>
        <w:tc>
          <w:tcPr>
            <w:tcW w:w="5665" w:type="dxa"/>
          </w:tcPr>
          <w:p w:rsidR="003E1E90" w:rsidRDefault="003E1E90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დაისვა ექიმის პასუხსიმგებლობის საკითხი</w:t>
            </w:r>
          </w:p>
        </w:tc>
        <w:tc>
          <w:tcPr>
            <w:tcW w:w="2628" w:type="dxa"/>
          </w:tcPr>
          <w:p w:rsidR="003E1E90" w:rsidRDefault="003E1E90" w:rsidP="003E1E90">
            <w:pPr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FD1F32"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 xml:space="preserve">994 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ექიმი</w:t>
            </w:r>
          </w:p>
        </w:tc>
      </w:tr>
      <w:tr w:rsidR="003E1E90" w:rsidTr="00C23C78">
        <w:trPr>
          <w:trHeight w:val="852"/>
        </w:trPr>
        <w:tc>
          <w:tcPr>
            <w:tcW w:w="5665" w:type="dxa"/>
          </w:tcPr>
          <w:p w:rsidR="003E1E90" w:rsidRDefault="003E1E90" w:rsidP="003E1E90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სხვადასხვა ვადით სერთიფიკატის მოქმედება შეუჩერდა  </w:t>
            </w:r>
          </w:p>
        </w:tc>
        <w:tc>
          <w:tcPr>
            <w:tcW w:w="2628" w:type="dxa"/>
          </w:tcPr>
          <w:p w:rsidR="003E1E90" w:rsidRDefault="003E1E90" w:rsidP="003E1E90">
            <w:pPr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FD1F32"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366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ექიმი</w:t>
            </w:r>
          </w:p>
        </w:tc>
      </w:tr>
      <w:tr w:rsidR="003E1E90" w:rsidTr="00C23C78">
        <w:trPr>
          <w:trHeight w:val="411"/>
        </w:trPr>
        <w:tc>
          <w:tcPr>
            <w:tcW w:w="5665" w:type="dxa"/>
          </w:tcPr>
          <w:p w:rsidR="003E1E90" w:rsidRDefault="003E1E90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სახელმწიფო სერთიფიკატი გაუქმდა</w:t>
            </w:r>
          </w:p>
        </w:tc>
        <w:tc>
          <w:tcPr>
            <w:tcW w:w="2628" w:type="dxa"/>
          </w:tcPr>
          <w:p w:rsidR="003E1E90" w:rsidRDefault="003E1E90" w:rsidP="003E1E90">
            <w:pPr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FD1F32"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3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ექიმი</w:t>
            </w:r>
          </w:p>
        </w:tc>
      </w:tr>
    </w:tbl>
    <w:p w:rsidR="003E1E90" w:rsidRDefault="003E1E90">
      <w:pPr>
        <w:rPr>
          <w:rFonts w:ascii="Sylfaen" w:eastAsia="Times New Roman" w:hAnsi="Sylfaen" w:cs="Times New Roman"/>
          <w:sz w:val="24"/>
          <w:szCs w:val="24"/>
          <w:lang w:val="ka-GE"/>
        </w:rPr>
      </w:pPr>
    </w:p>
    <w:tbl>
      <w:tblPr>
        <w:tblStyle w:val="TableGrid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11"/>
        <w:gridCol w:w="984"/>
        <w:gridCol w:w="850"/>
        <w:gridCol w:w="851"/>
        <w:gridCol w:w="850"/>
        <w:gridCol w:w="851"/>
        <w:gridCol w:w="850"/>
        <w:gridCol w:w="851"/>
        <w:gridCol w:w="850"/>
      </w:tblGrid>
      <w:tr w:rsidR="00771E8A" w:rsidTr="00771E8A">
        <w:trPr>
          <w:trHeight w:val="763"/>
        </w:trPr>
        <w:tc>
          <w:tcPr>
            <w:tcW w:w="3411" w:type="dxa"/>
          </w:tcPr>
          <w:p w:rsidR="00771E8A" w:rsidRDefault="00771E8A" w:rsidP="000736AB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984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2012 წ</w:t>
            </w:r>
          </w:p>
        </w:tc>
        <w:tc>
          <w:tcPr>
            <w:tcW w:w="850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2013წ</w:t>
            </w:r>
          </w:p>
        </w:tc>
        <w:tc>
          <w:tcPr>
            <w:tcW w:w="851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2014წ</w:t>
            </w:r>
          </w:p>
        </w:tc>
        <w:tc>
          <w:tcPr>
            <w:tcW w:w="850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2015წ</w:t>
            </w:r>
          </w:p>
        </w:tc>
        <w:tc>
          <w:tcPr>
            <w:tcW w:w="851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2016წ</w:t>
            </w:r>
          </w:p>
        </w:tc>
        <w:tc>
          <w:tcPr>
            <w:tcW w:w="850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2017წ</w:t>
            </w:r>
          </w:p>
        </w:tc>
        <w:tc>
          <w:tcPr>
            <w:tcW w:w="851" w:type="dxa"/>
          </w:tcPr>
          <w:p w:rsidR="00771E8A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2018წ</w:t>
            </w:r>
          </w:p>
        </w:tc>
        <w:tc>
          <w:tcPr>
            <w:tcW w:w="850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 xml:space="preserve">2019წ </w:t>
            </w:r>
          </w:p>
        </w:tc>
      </w:tr>
      <w:tr w:rsidR="00771E8A" w:rsidTr="00771E8A">
        <w:trPr>
          <w:trHeight w:val="763"/>
        </w:trPr>
        <w:tc>
          <w:tcPr>
            <w:tcW w:w="3411" w:type="dxa"/>
          </w:tcPr>
          <w:p w:rsidR="00771E8A" w:rsidRDefault="00771E8A" w:rsidP="000736AB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პროფესიული საბჭოს მიერ განხილული პაციენტების გარდაცვალების საკითხი</w:t>
            </w:r>
          </w:p>
        </w:tc>
        <w:tc>
          <w:tcPr>
            <w:tcW w:w="984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33</w:t>
            </w:r>
          </w:p>
        </w:tc>
        <w:tc>
          <w:tcPr>
            <w:tcW w:w="850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36</w:t>
            </w:r>
          </w:p>
        </w:tc>
        <w:tc>
          <w:tcPr>
            <w:tcW w:w="851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65</w:t>
            </w:r>
          </w:p>
        </w:tc>
        <w:tc>
          <w:tcPr>
            <w:tcW w:w="850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53</w:t>
            </w:r>
          </w:p>
        </w:tc>
        <w:tc>
          <w:tcPr>
            <w:tcW w:w="851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45</w:t>
            </w:r>
          </w:p>
        </w:tc>
        <w:tc>
          <w:tcPr>
            <w:tcW w:w="850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77</w:t>
            </w:r>
          </w:p>
        </w:tc>
        <w:tc>
          <w:tcPr>
            <w:tcW w:w="851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87</w:t>
            </w:r>
          </w:p>
        </w:tc>
        <w:tc>
          <w:tcPr>
            <w:tcW w:w="850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35</w:t>
            </w:r>
          </w:p>
        </w:tc>
      </w:tr>
      <w:tr w:rsidR="00771E8A" w:rsidTr="00771E8A">
        <w:trPr>
          <w:trHeight w:val="546"/>
        </w:trPr>
        <w:tc>
          <w:tcPr>
            <w:tcW w:w="3411" w:type="dxa"/>
          </w:tcPr>
          <w:p w:rsidR="00771E8A" w:rsidRDefault="00771E8A" w:rsidP="000736AB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დაისვა ექიმის პროფესიული</w:t>
            </w:r>
          </w:p>
          <w:p w:rsidR="00771E8A" w:rsidRDefault="00771E8A" w:rsidP="000736AB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პასუხსიმგებლობის საკითხი</w:t>
            </w:r>
          </w:p>
        </w:tc>
        <w:tc>
          <w:tcPr>
            <w:tcW w:w="984" w:type="dxa"/>
          </w:tcPr>
          <w:p w:rsidR="00771E8A" w:rsidRPr="007056CC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85</w:t>
            </w:r>
          </w:p>
        </w:tc>
        <w:tc>
          <w:tcPr>
            <w:tcW w:w="850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104</w:t>
            </w:r>
          </w:p>
        </w:tc>
        <w:tc>
          <w:tcPr>
            <w:tcW w:w="851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162</w:t>
            </w:r>
          </w:p>
        </w:tc>
        <w:tc>
          <w:tcPr>
            <w:tcW w:w="850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122</w:t>
            </w:r>
          </w:p>
        </w:tc>
        <w:tc>
          <w:tcPr>
            <w:tcW w:w="851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91</w:t>
            </w:r>
          </w:p>
        </w:tc>
        <w:tc>
          <w:tcPr>
            <w:tcW w:w="850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140</w:t>
            </w:r>
          </w:p>
        </w:tc>
        <w:tc>
          <w:tcPr>
            <w:tcW w:w="851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203</w:t>
            </w:r>
          </w:p>
        </w:tc>
        <w:tc>
          <w:tcPr>
            <w:tcW w:w="850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87</w:t>
            </w:r>
          </w:p>
        </w:tc>
      </w:tr>
      <w:tr w:rsidR="00771E8A" w:rsidTr="00771E8A">
        <w:trPr>
          <w:trHeight w:val="852"/>
        </w:trPr>
        <w:tc>
          <w:tcPr>
            <w:tcW w:w="3411" w:type="dxa"/>
          </w:tcPr>
          <w:p w:rsidR="00771E8A" w:rsidRDefault="00771E8A" w:rsidP="000736AB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სხვადასხვა ვადით სერთიფიკატის მოქმედება შეუჩერდა  </w:t>
            </w:r>
          </w:p>
        </w:tc>
        <w:tc>
          <w:tcPr>
            <w:tcW w:w="984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24</w:t>
            </w:r>
          </w:p>
        </w:tc>
        <w:tc>
          <w:tcPr>
            <w:tcW w:w="850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47</w:t>
            </w:r>
          </w:p>
        </w:tc>
        <w:tc>
          <w:tcPr>
            <w:tcW w:w="851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73</w:t>
            </w:r>
          </w:p>
        </w:tc>
        <w:tc>
          <w:tcPr>
            <w:tcW w:w="850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40</w:t>
            </w:r>
          </w:p>
        </w:tc>
        <w:tc>
          <w:tcPr>
            <w:tcW w:w="851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43</w:t>
            </w:r>
          </w:p>
        </w:tc>
        <w:tc>
          <w:tcPr>
            <w:tcW w:w="850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62</w:t>
            </w:r>
          </w:p>
        </w:tc>
        <w:tc>
          <w:tcPr>
            <w:tcW w:w="851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54</w:t>
            </w:r>
          </w:p>
        </w:tc>
        <w:tc>
          <w:tcPr>
            <w:tcW w:w="850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23</w:t>
            </w:r>
          </w:p>
        </w:tc>
      </w:tr>
      <w:tr w:rsidR="00771E8A" w:rsidTr="00771E8A">
        <w:trPr>
          <w:trHeight w:val="411"/>
        </w:trPr>
        <w:tc>
          <w:tcPr>
            <w:tcW w:w="3411" w:type="dxa"/>
          </w:tcPr>
          <w:p w:rsidR="00771E8A" w:rsidRDefault="00771E8A" w:rsidP="000736AB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სახელმწიფო სერთიფიკატი გაუქმდა</w:t>
            </w:r>
          </w:p>
        </w:tc>
        <w:tc>
          <w:tcPr>
            <w:tcW w:w="984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</w:p>
        </w:tc>
        <w:tc>
          <w:tcPr>
            <w:tcW w:w="850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</w:p>
        </w:tc>
        <w:tc>
          <w:tcPr>
            <w:tcW w:w="851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</w:p>
        </w:tc>
        <w:tc>
          <w:tcPr>
            <w:tcW w:w="850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</w:p>
        </w:tc>
        <w:tc>
          <w:tcPr>
            <w:tcW w:w="851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</w:p>
        </w:tc>
        <w:tc>
          <w:tcPr>
            <w:tcW w:w="850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</w:p>
        </w:tc>
        <w:tc>
          <w:tcPr>
            <w:tcW w:w="851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2</w:t>
            </w:r>
          </w:p>
        </w:tc>
        <w:tc>
          <w:tcPr>
            <w:tcW w:w="850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1</w:t>
            </w:r>
          </w:p>
        </w:tc>
      </w:tr>
    </w:tbl>
    <w:p w:rsidR="00C23C78" w:rsidRDefault="00C23C78">
      <w:pPr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C23C78" w:rsidRDefault="00C23C78">
      <w:pPr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236CAF" w:rsidRDefault="003E1E90">
      <w:pPr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გარდა ამისა მხოლოდ 2018 წელს 41 000-ზე მეტი გარდაცვალების მაჩვენებელი დაფიქსირდა საყოველთაო ჯანდაცვის პროგრამის ფარგლებში დაფინანსებული მომსახურების შემთხვევებში, როგორც უშუალოდ სერვისის მიღების ადგილზე, ისე </w:t>
      </w:r>
      <w:r w:rsidR="00FA5D84">
        <w:rPr>
          <w:rFonts w:ascii="Sylfaen" w:eastAsia="Times New Roman" w:hAnsi="Sylfaen" w:cs="Times New Roman"/>
          <w:sz w:val="24"/>
          <w:szCs w:val="24"/>
          <w:lang w:val="ka-GE"/>
        </w:rPr>
        <w:t>რეადმისიის პერიოდის გასვლამდე.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FA5D84" w:rsidRDefault="003E1E90">
      <w:pPr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რამდენადაც აღნიშნული სტატისტიკა წარმოებულია ახალი ტარიფების ამოქმედებამდე,  ნათლად გამოიკვეთა რეალური მოცემულობა - </w:t>
      </w:r>
      <w:r w:rsidR="0061597D">
        <w:rPr>
          <w:rFonts w:ascii="Sylfaen" w:eastAsia="Times New Roman" w:hAnsi="Sylfaen" w:cs="Times New Roman"/>
          <w:sz w:val="24"/>
          <w:szCs w:val="24"/>
          <w:lang w:val="ka-GE"/>
        </w:rPr>
        <w:t xml:space="preserve">პრობლემა ისახება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მომსახურების ხარისხ</w:t>
      </w:r>
      <w:r w:rsidR="0061597D">
        <w:rPr>
          <w:rFonts w:ascii="Sylfaen" w:eastAsia="Times New Roman" w:hAnsi="Sylfaen" w:cs="Times New Roman"/>
          <w:sz w:val="24"/>
          <w:szCs w:val="24"/>
          <w:lang w:val="ka-GE"/>
        </w:rPr>
        <w:t>სა და პერსონალის კვალიფიკაციაში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და არა </w:t>
      </w:r>
      <w:r w:rsidR="0061597D">
        <w:rPr>
          <w:rFonts w:ascii="Sylfaen" w:eastAsia="Times New Roman" w:hAnsi="Sylfaen" w:cs="Times New Roman"/>
          <w:sz w:val="24"/>
          <w:szCs w:val="24"/>
          <w:lang w:val="ka-GE"/>
        </w:rPr>
        <w:t>დაფინანსების საკითხში.</w:t>
      </w:r>
      <w:r w:rsidR="009B4C8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9B4C82" w:rsidRDefault="009B4C82">
      <w:pPr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lastRenderedPageBreak/>
        <w:t xml:space="preserve">აღნიშნული გარემოებებიდან გამომდინარე, სახელმწიფო დარწმუნებულია იმ ნაბიჯების მართებულობაში, რომელიც დაგეგმილი რეფორმის ფარგლებში უნდა გადაიდგას, განსაკუთრებით იმ ფაქტორის გათვალისწინებით, რომ აღნიშნული ნაბიჯები დაიგეგმა როგორც </w:t>
      </w:r>
      <w:r w:rsidR="00FD1F32">
        <w:rPr>
          <w:rFonts w:ascii="Sylfaen" w:eastAsia="Times New Roman" w:hAnsi="Sylfaen" w:cs="Times New Roman"/>
          <w:sz w:val="24"/>
          <w:szCs w:val="24"/>
          <w:lang w:val="ka-GE"/>
        </w:rPr>
        <w:t xml:space="preserve">დაწესებულების, ისე პაციენტისა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და სახელმწიფოს საუკეთესო ინტერესების გათვალისწინებით. </w:t>
      </w:r>
    </w:p>
    <w:p w:rsidR="009B4C82" w:rsidRDefault="009B4C82">
      <w:pPr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9B4C82" w:rsidRDefault="009B4C82">
      <w:pPr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933DF6" w:rsidRPr="00C07847" w:rsidRDefault="00FD1F3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</w:t>
      </w:r>
    </w:p>
    <w:sectPr w:rsidR="00933DF6" w:rsidRPr="00C07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D0"/>
    <w:rsid w:val="000C3BC9"/>
    <w:rsid w:val="000C430B"/>
    <w:rsid w:val="000C5EBF"/>
    <w:rsid w:val="001B5941"/>
    <w:rsid w:val="001C2DE2"/>
    <w:rsid w:val="00236CAF"/>
    <w:rsid w:val="002B54AB"/>
    <w:rsid w:val="00347B26"/>
    <w:rsid w:val="003E1E90"/>
    <w:rsid w:val="004371BF"/>
    <w:rsid w:val="004473BE"/>
    <w:rsid w:val="004C798C"/>
    <w:rsid w:val="00535F81"/>
    <w:rsid w:val="0061597D"/>
    <w:rsid w:val="006868EF"/>
    <w:rsid w:val="007056CC"/>
    <w:rsid w:val="007376FF"/>
    <w:rsid w:val="00756436"/>
    <w:rsid w:val="00771E8A"/>
    <w:rsid w:val="008C24D0"/>
    <w:rsid w:val="00933DF6"/>
    <w:rsid w:val="009B4C82"/>
    <w:rsid w:val="00A9356B"/>
    <w:rsid w:val="00B5618B"/>
    <w:rsid w:val="00C07847"/>
    <w:rsid w:val="00C23C78"/>
    <w:rsid w:val="00D20D3C"/>
    <w:rsid w:val="00D61CC2"/>
    <w:rsid w:val="00FA5D84"/>
    <w:rsid w:val="00FD1F32"/>
    <w:rsid w:val="00FD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004A2-C05C-4284-A3FF-F813F402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5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Bakradze</dc:creator>
  <cp:keywords/>
  <dc:description/>
  <cp:lastModifiedBy>Tea Bakradze</cp:lastModifiedBy>
  <cp:revision>4</cp:revision>
  <cp:lastPrinted>2019-11-08T12:28:00Z</cp:lastPrinted>
  <dcterms:created xsi:type="dcterms:W3CDTF">2019-11-08T15:03:00Z</dcterms:created>
  <dcterms:modified xsi:type="dcterms:W3CDTF">2019-11-08T15:08:00Z</dcterms:modified>
</cp:coreProperties>
</file>